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54E2B" w14:textId="77777777" w:rsidR="00D736D3" w:rsidRDefault="00000000">
      <w:pPr>
        <w:pStyle w:val="Title"/>
      </w:pPr>
      <w:r>
        <w:rPr>
          <w:color w:val="112F3B"/>
          <w:spacing w:val="-2"/>
        </w:rPr>
        <w:t>APPENDIX</w:t>
      </w:r>
      <w:r>
        <w:rPr>
          <w:color w:val="112F3B"/>
          <w:spacing w:val="-11"/>
        </w:rPr>
        <w:t xml:space="preserve"> </w:t>
      </w:r>
      <w:r>
        <w:rPr>
          <w:color w:val="112F3B"/>
          <w:spacing w:val="-2"/>
        </w:rPr>
        <w:t>D:</w:t>
      </w:r>
      <w:r>
        <w:rPr>
          <w:color w:val="112F3B"/>
          <w:spacing w:val="-6"/>
        </w:rPr>
        <w:t xml:space="preserve"> </w:t>
      </w:r>
      <w:r>
        <w:rPr>
          <w:color w:val="112F3B"/>
          <w:spacing w:val="-2"/>
        </w:rPr>
        <w:t>NOTIFICATION</w:t>
      </w:r>
      <w:r>
        <w:rPr>
          <w:color w:val="112F3B"/>
          <w:spacing w:val="-8"/>
        </w:rPr>
        <w:t xml:space="preserve"> </w:t>
      </w:r>
      <w:r>
        <w:rPr>
          <w:color w:val="112F3B"/>
          <w:spacing w:val="-2"/>
        </w:rPr>
        <w:t>E-MAIL</w:t>
      </w:r>
      <w:r>
        <w:rPr>
          <w:color w:val="112F3B"/>
          <w:spacing w:val="-14"/>
        </w:rPr>
        <w:t xml:space="preserve"> </w:t>
      </w:r>
      <w:r>
        <w:rPr>
          <w:color w:val="112F3B"/>
          <w:spacing w:val="-2"/>
        </w:rPr>
        <w:t>TO</w:t>
      </w:r>
      <w:r>
        <w:rPr>
          <w:color w:val="112F3B"/>
          <w:spacing w:val="-6"/>
        </w:rPr>
        <w:t xml:space="preserve"> </w:t>
      </w:r>
      <w:r>
        <w:rPr>
          <w:color w:val="112F3B"/>
          <w:spacing w:val="-2"/>
        </w:rPr>
        <w:t>ALL</w:t>
      </w:r>
      <w:r>
        <w:rPr>
          <w:color w:val="112F3B"/>
          <w:spacing w:val="-11"/>
        </w:rPr>
        <w:t xml:space="preserve"> </w:t>
      </w:r>
      <w:r>
        <w:rPr>
          <w:color w:val="112F3B"/>
          <w:spacing w:val="-2"/>
        </w:rPr>
        <w:t>AUTHORIZING</w:t>
      </w:r>
      <w:r>
        <w:rPr>
          <w:color w:val="112F3B"/>
          <w:spacing w:val="-7"/>
        </w:rPr>
        <w:t xml:space="preserve"> </w:t>
      </w:r>
      <w:r>
        <w:rPr>
          <w:color w:val="112F3B"/>
          <w:spacing w:val="-2"/>
        </w:rPr>
        <w:t>AE(S)</w:t>
      </w:r>
    </w:p>
    <w:p w14:paraId="2644C5CD" w14:textId="77777777" w:rsidR="00D736D3" w:rsidRDefault="00D736D3">
      <w:pPr>
        <w:pStyle w:val="BodyText"/>
        <w:spacing w:before="90"/>
        <w:rPr>
          <w:b/>
        </w:rPr>
      </w:pPr>
    </w:p>
    <w:p w14:paraId="37651ED1" w14:textId="77777777" w:rsidR="00D736D3" w:rsidRDefault="00000000">
      <w:pPr>
        <w:pStyle w:val="BodyText"/>
        <w:ind w:left="5"/>
        <w:jc w:val="center"/>
      </w:pPr>
      <w:r>
        <w:rPr>
          <w:color w:val="112F3B"/>
          <w:spacing w:val="-4"/>
          <w:u w:val="single" w:color="112F3B"/>
        </w:rPr>
        <w:t>Notification</w:t>
      </w:r>
      <w:r>
        <w:rPr>
          <w:color w:val="112F3B"/>
          <w:spacing w:val="3"/>
          <w:u w:val="single" w:color="112F3B"/>
        </w:rPr>
        <w:t xml:space="preserve"> </w:t>
      </w:r>
      <w:r>
        <w:rPr>
          <w:color w:val="112F3B"/>
          <w:spacing w:val="-4"/>
          <w:u w:val="single" w:color="112F3B"/>
        </w:rPr>
        <w:t>e-mail</w:t>
      </w:r>
      <w:r>
        <w:rPr>
          <w:color w:val="112F3B"/>
          <w:spacing w:val="-1"/>
          <w:u w:val="single" w:color="112F3B"/>
        </w:rPr>
        <w:t xml:space="preserve"> </w:t>
      </w:r>
      <w:r>
        <w:rPr>
          <w:color w:val="112F3B"/>
          <w:spacing w:val="-4"/>
          <w:u w:val="single" w:color="112F3B"/>
        </w:rPr>
        <w:t>to</w:t>
      </w:r>
      <w:r>
        <w:rPr>
          <w:color w:val="112F3B"/>
          <w:spacing w:val="2"/>
          <w:u w:val="single" w:color="112F3B"/>
        </w:rPr>
        <w:t xml:space="preserve"> </w:t>
      </w:r>
      <w:r>
        <w:rPr>
          <w:color w:val="112F3B"/>
          <w:spacing w:val="-4"/>
          <w:u w:val="single" w:color="112F3B"/>
        </w:rPr>
        <w:t>ALL</w:t>
      </w:r>
      <w:r>
        <w:rPr>
          <w:color w:val="112F3B"/>
          <w:spacing w:val="-2"/>
          <w:u w:val="single" w:color="112F3B"/>
        </w:rPr>
        <w:t xml:space="preserve"> </w:t>
      </w:r>
      <w:r>
        <w:rPr>
          <w:color w:val="112F3B"/>
          <w:spacing w:val="-4"/>
          <w:u w:val="single" w:color="112F3B"/>
        </w:rPr>
        <w:t>Authorizing</w:t>
      </w:r>
      <w:r>
        <w:rPr>
          <w:color w:val="112F3B"/>
          <w:spacing w:val="-1"/>
          <w:u w:val="single" w:color="112F3B"/>
        </w:rPr>
        <w:t xml:space="preserve"> </w:t>
      </w:r>
      <w:r>
        <w:rPr>
          <w:color w:val="112F3B"/>
          <w:spacing w:val="-4"/>
          <w:u w:val="single" w:color="112F3B"/>
        </w:rPr>
        <w:t>AE(s)</w:t>
      </w:r>
    </w:p>
    <w:p w14:paraId="3D5C0D7F" w14:textId="77777777" w:rsidR="00D736D3" w:rsidRDefault="00D736D3">
      <w:pPr>
        <w:pStyle w:val="BodyText"/>
        <w:spacing w:before="96"/>
      </w:pPr>
    </w:p>
    <w:p w14:paraId="7BC1EFB6" w14:textId="77777777" w:rsidR="002521DE" w:rsidRPr="002521DE" w:rsidRDefault="002521DE" w:rsidP="002521DE">
      <w:pPr>
        <w:pStyle w:val="BodyText"/>
        <w:spacing w:before="94"/>
        <w:rPr>
          <w:color w:val="112F3B"/>
        </w:rPr>
      </w:pPr>
      <w:r w:rsidRPr="002521DE">
        <w:rPr>
          <w:color w:val="112F3B"/>
        </w:rPr>
        <w:t>The following provider(s) have not submitted their provider qualification documentation record or required supporting documentation to the assigned AE:</w:t>
      </w:r>
    </w:p>
    <w:p w14:paraId="5A16126D" w14:textId="77777777" w:rsidR="002521DE" w:rsidRPr="002521DE" w:rsidRDefault="002521DE" w:rsidP="002521DE">
      <w:pPr>
        <w:pStyle w:val="BodyText"/>
        <w:spacing w:before="94"/>
        <w:rPr>
          <w:color w:val="112F3B"/>
        </w:rPr>
      </w:pPr>
    </w:p>
    <w:p w14:paraId="1BCDBC70" w14:textId="77777777" w:rsidR="002521DE" w:rsidRPr="002521DE" w:rsidRDefault="002521DE" w:rsidP="002521DE">
      <w:pPr>
        <w:pStyle w:val="BodyText"/>
        <w:spacing w:before="94"/>
        <w:rPr>
          <w:color w:val="112F3B"/>
        </w:rPr>
      </w:pPr>
      <w:r w:rsidRPr="002521DE">
        <w:rPr>
          <w:color w:val="112F3B"/>
        </w:rPr>
        <w:t>Provider (MPI#):</w:t>
      </w:r>
    </w:p>
    <w:p w14:paraId="3EC2CA30" w14:textId="77777777" w:rsidR="002521DE" w:rsidRPr="002521DE" w:rsidRDefault="002521DE" w:rsidP="002521DE">
      <w:pPr>
        <w:pStyle w:val="BodyText"/>
        <w:spacing w:before="94"/>
        <w:ind w:firstLine="720"/>
        <w:rPr>
          <w:color w:val="112F3B"/>
        </w:rPr>
      </w:pPr>
      <w:r w:rsidRPr="002521DE">
        <w:rPr>
          <w:color w:val="112F3B"/>
        </w:rPr>
        <w:t>• [Insert Provider Name and MPI]</w:t>
      </w:r>
    </w:p>
    <w:p w14:paraId="0F68D8E0" w14:textId="51D36170" w:rsidR="00D736D3" w:rsidRDefault="002521DE" w:rsidP="002521DE">
      <w:pPr>
        <w:pStyle w:val="BodyText"/>
        <w:spacing w:before="94"/>
        <w:ind w:firstLine="720"/>
        <w:rPr>
          <w:color w:val="112F3B"/>
        </w:rPr>
      </w:pPr>
      <w:r w:rsidRPr="002521DE">
        <w:rPr>
          <w:color w:val="112F3B"/>
        </w:rPr>
        <w:t>• [Insert additional providers as needed]</w:t>
      </w:r>
    </w:p>
    <w:p w14:paraId="49367917" w14:textId="77777777" w:rsidR="002521DE" w:rsidRDefault="002521DE">
      <w:pPr>
        <w:pStyle w:val="BodyText"/>
        <w:spacing w:before="237" w:line="360" w:lineRule="auto"/>
        <w:rPr>
          <w:color w:val="112F3B"/>
          <w:spacing w:val="-2"/>
        </w:rPr>
      </w:pPr>
      <w:r w:rsidRPr="002521DE">
        <w:rPr>
          <w:color w:val="112F3B"/>
          <w:spacing w:val="-2"/>
        </w:rPr>
        <w:t>Please run a Provider Service Detail Report in HCSIS to identify individuals currently authorized to receive services from the above provider(s).</w:t>
      </w:r>
    </w:p>
    <w:p w14:paraId="61A481E5" w14:textId="77777777" w:rsidR="002521DE" w:rsidRDefault="002521DE">
      <w:pPr>
        <w:pStyle w:val="BodyText"/>
        <w:spacing w:before="239" w:line="360" w:lineRule="auto"/>
        <w:ind w:right="54"/>
        <w:rPr>
          <w:color w:val="112F3B"/>
        </w:rPr>
      </w:pPr>
      <w:r w:rsidRPr="002521DE">
        <w:rPr>
          <w:color w:val="112F3B"/>
        </w:rPr>
        <w:t>Providers have been informed that if they do not submit their qualification documentation by April 30, 20XX, Supports Coordinators (SCs) will begin planning activities with waiver participants, families, and Individual Support Plan (ISP) teams as of May 1, 20XX, to transition individuals to willing and qualified provider(s).</w:t>
      </w:r>
    </w:p>
    <w:p w14:paraId="5ACABB4D" w14:textId="77777777" w:rsidR="002521DE" w:rsidRPr="002521DE" w:rsidRDefault="002521DE" w:rsidP="002521DE">
      <w:pPr>
        <w:pStyle w:val="BodyText"/>
        <w:spacing w:line="360" w:lineRule="auto"/>
        <w:rPr>
          <w:color w:val="112F3B"/>
          <w:spacing w:val="-2"/>
        </w:rPr>
      </w:pPr>
      <w:r w:rsidRPr="002521DE">
        <w:rPr>
          <w:color w:val="112F3B"/>
          <w:spacing w:val="-2"/>
        </w:rPr>
        <w:t>Please notify the appropriate SCOs/SCs—using Appendix E—that planning activities are to begin immediately. The “Choosing Alternative Providers” talking points should also be shared as a planning resource.</w:t>
      </w:r>
    </w:p>
    <w:p w14:paraId="2E805E6D" w14:textId="77777777" w:rsidR="002521DE" w:rsidRPr="002521DE" w:rsidRDefault="002521DE" w:rsidP="002521DE">
      <w:pPr>
        <w:pStyle w:val="BodyText"/>
        <w:spacing w:line="360" w:lineRule="auto"/>
        <w:rPr>
          <w:color w:val="112F3B"/>
          <w:spacing w:val="-2"/>
        </w:rPr>
      </w:pPr>
    </w:p>
    <w:p w14:paraId="0DB35331" w14:textId="77777777" w:rsidR="002521DE" w:rsidRDefault="002521DE" w:rsidP="002521DE">
      <w:pPr>
        <w:pStyle w:val="BodyText"/>
        <w:spacing w:line="360" w:lineRule="auto"/>
        <w:rPr>
          <w:color w:val="112F3B"/>
          <w:spacing w:val="-2"/>
        </w:rPr>
      </w:pPr>
      <w:r w:rsidRPr="002521DE">
        <w:rPr>
          <w:color w:val="112F3B"/>
          <w:spacing w:val="-2"/>
        </w:rPr>
        <w:t>Authorizing AEs must pull the Provider Qualification Status Report in HCSIS on a weekly basis to monitor the qualification status of the provider(s).</w:t>
      </w:r>
    </w:p>
    <w:p w14:paraId="56516FC1" w14:textId="77777777" w:rsidR="002521DE" w:rsidRPr="002521DE" w:rsidRDefault="002521DE" w:rsidP="002521DE">
      <w:pPr>
        <w:pStyle w:val="BodyText"/>
        <w:spacing w:line="360" w:lineRule="auto"/>
        <w:rPr>
          <w:color w:val="112F3B"/>
          <w:spacing w:val="-2"/>
        </w:rPr>
      </w:pPr>
    </w:p>
    <w:p w14:paraId="338B3F3D" w14:textId="77777777" w:rsidR="002521DE" w:rsidRPr="002521DE" w:rsidRDefault="002521DE" w:rsidP="002521DE">
      <w:pPr>
        <w:pStyle w:val="BodyText"/>
        <w:spacing w:line="360" w:lineRule="auto"/>
        <w:ind w:left="720"/>
        <w:rPr>
          <w:color w:val="112F3B"/>
          <w:spacing w:val="-2"/>
        </w:rPr>
      </w:pPr>
      <w:r w:rsidRPr="002521DE">
        <w:rPr>
          <w:color w:val="112F3B"/>
          <w:spacing w:val="-2"/>
        </w:rPr>
        <w:t>• If the provider becomes qualified and the individual chooses to continue services with the provider, SCs may stop transition planning.</w:t>
      </w:r>
    </w:p>
    <w:p w14:paraId="0005E918" w14:textId="77777777" w:rsidR="002521DE" w:rsidRPr="002521DE" w:rsidRDefault="002521DE" w:rsidP="002521DE">
      <w:pPr>
        <w:pStyle w:val="BodyText"/>
        <w:spacing w:line="360" w:lineRule="auto"/>
        <w:ind w:left="720"/>
        <w:rPr>
          <w:color w:val="112F3B"/>
          <w:spacing w:val="-2"/>
        </w:rPr>
      </w:pPr>
      <w:r w:rsidRPr="002521DE">
        <w:rPr>
          <w:color w:val="112F3B"/>
          <w:spacing w:val="-2"/>
        </w:rPr>
        <w:t>• If, during planning, the participant chooses to move to another willing and qualified provider prior to July 1, 20XX, the SC must end-date the service authorizations in the individual’s FY 20XX–20XX ISP accordingly.</w:t>
      </w:r>
    </w:p>
    <w:p w14:paraId="7DCC00B4" w14:textId="77777777" w:rsidR="002521DE" w:rsidRPr="002521DE" w:rsidRDefault="002521DE" w:rsidP="002521DE">
      <w:pPr>
        <w:pStyle w:val="BodyText"/>
        <w:spacing w:line="360" w:lineRule="auto"/>
        <w:rPr>
          <w:color w:val="112F3B"/>
          <w:spacing w:val="-2"/>
        </w:rPr>
      </w:pPr>
    </w:p>
    <w:p w14:paraId="1643E212" w14:textId="77777777" w:rsidR="002521DE" w:rsidRPr="002521DE" w:rsidRDefault="002521DE" w:rsidP="002521DE">
      <w:pPr>
        <w:pStyle w:val="BodyText"/>
        <w:spacing w:line="360" w:lineRule="auto"/>
        <w:rPr>
          <w:color w:val="112F3B"/>
          <w:spacing w:val="-2"/>
        </w:rPr>
      </w:pPr>
      <w:r w:rsidRPr="002521DE">
        <w:rPr>
          <w:color w:val="112F3B"/>
          <w:spacing w:val="-2"/>
        </w:rPr>
        <w:t>If, by June 30, 20XX, the Authorizing AE has not received notification from ODP that the provider has been qualified, the Authorizing AE must ensure that the provider’s waiver service authorizations are not carried forward into the individual’s FY 20XX–20XX ISP.</w:t>
      </w:r>
    </w:p>
    <w:p w14:paraId="4544845C" w14:textId="77777777" w:rsidR="002521DE" w:rsidRPr="002521DE" w:rsidRDefault="002521DE" w:rsidP="002521DE">
      <w:pPr>
        <w:pStyle w:val="BodyText"/>
        <w:spacing w:line="360" w:lineRule="auto"/>
        <w:rPr>
          <w:color w:val="112F3B"/>
          <w:spacing w:val="-2"/>
        </w:rPr>
      </w:pPr>
    </w:p>
    <w:p w14:paraId="7096A39F" w14:textId="77777777" w:rsidR="002521DE" w:rsidRPr="002521DE" w:rsidRDefault="002521DE" w:rsidP="002521DE">
      <w:pPr>
        <w:pStyle w:val="BodyText"/>
        <w:spacing w:line="360" w:lineRule="auto"/>
        <w:rPr>
          <w:color w:val="112F3B"/>
          <w:spacing w:val="-2"/>
        </w:rPr>
      </w:pPr>
      <w:r w:rsidRPr="002521DE">
        <w:rPr>
          <w:color w:val="112F3B"/>
          <w:spacing w:val="-2"/>
        </w:rPr>
        <w:lastRenderedPageBreak/>
        <w:t>Sincerely,</w:t>
      </w:r>
    </w:p>
    <w:p w14:paraId="5E1001AC" w14:textId="77777777" w:rsidR="002521DE" w:rsidRPr="002521DE" w:rsidRDefault="002521DE" w:rsidP="002521DE">
      <w:pPr>
        <w:pStyle w:val="BodyText"/>
        <w:spacing w:line="360" w:lineRule="auto"/>
        <w:rPr>
          <w:color w:val="112F3B"/>
          <w:spacing w:val="-2"/>
        </w:rPr>
      </w:pPr>
      <w:r w:rsidRPr="002521DE">
        <w:rPr>
          <w:color w:val="112F3B"/>
          <w:spacing w:val="-2"/>
        </w:rPr>
        <w:t>Regional PQ Point Person of Assigned AE</w:t>
      </w:r>
    </w:p>
    <w:p w14:paraId="271D0784" w14:textId="77777777" w:rsidR="002521DE" w:rsidRPr="002521DE" w:rsidRDefault="002521DE" w:rsidP="002521DE">
      <w:pPr>
        <w:pStyle w:val="BodyText"/>
        <w:spacing w:line="360" w:lineRule="auto"/>
        <w:rPr>
          <w:color w:val="112F3B"/>
          <w:spacing w:val="-2"/>
        </w:rPr>
      </w:pPr>
    </w:p>
    <w:p w14:paraId="3ED108C5" w14:textId="36BA77E4" w:rsidR="00D736D3" w:rsidRDefault="002521DE" w:rsidP="002521DE">
      <w:pPr>
        <w:pStyle w:val="BodyText"/>
        <w:spacing w:line="360" w:lineRule="auto"/>
      </w:pPr>
      <w:r w:rsidRPr="002521DE">
        <w:rPr>
          <w:color w:val="112F3B"/>
          <w:spacing w:val="-2"/>
        </w:rPr>
        <w:t>cc: Regional PQ Point Person of Authorizing AE(s</w:t>
      </w:r>
      <w:r>
        <w:rPr>
          <w:color w:val="112F3B"/>
          <w:spacing w:val="-2"/>
        </w:rPr>
        <w:t>)</w:t>
      </w:r>
    </w:p>
    <w:sectPr w:rsidR="00D736D3" w:rsidSect="002521DE">
      <w:type w:val="continuous"/>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736D3"/>
    <w:rsid w:val="002521DE"/>
    <w:rsid w:val="00D736D3"/>
    <w:rsid w:val="00F6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FED3"/>
  <w15:docId w15:val="{43B0921B-8986-40E7-BEC5-443F495F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Pesner, Hope</dc:creator>
  <cp:lastModifiedBy>Frick, Charles</cp:lastModifiedBy>
  <cp:revision>2</cp:revision>
  <dcterms:created xsi:type="dcterms:W3CDTF">2025-11-17T16:01:00Z</dcterms:created>
  <dcterms:modified xsi:type="dcterms:W3CDTF">2025-11-17T16:48:00Z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Microsoft® Word for Microsoft 365</vt:lpwstr>
  </property>
  <property fmtid="{D5CDD505-2E9C-101B-9397-08002B2CF9AE}" pid="4" name="LastSaved">
    <vt:filetime>2025-11-17T00:00:00Z</vt:filetime>
  </property>
  <property fmtid="{D5CDD505-2E9C-101B-9397-08002B2CF9AE}" pid="5" name="Producer">
    <vt:lpwstr>Microsoft® Word for Microsoft 365</vt:lpwstr>
  </property>
</Properties>
</file>