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BE66" w14:textId="77777777" w:rsidR="00F26E3D" w:rsidRDefault="00000000">
      <w:pPr>
        <w:pStyle w:val="Title"/>
      </w:pPr>
      <w:r>
        <w:rPr>
          <w:color w:val="112F3B"/>
          <w:spacing w:val="-2"/>
        </w:rPr>
        <w:t>APPENDIX</w:t>
      </w:r>
      <w:r>
        <w:rPr>
          <w:color w:val="112F3B"/>
          <w:spacing w:val="-11"/>
        </w:rPr>
        <w:t xml:space="preserve"> </w:t>
      </w:r>
      <w:r>
        <w:rPr>
          <w:color w:val="112F3B"/>
          <w:spacing w:val="-2"/>
        </w:rPr>
        <w:t>C:</w:t>
      </w:r>
      <w:r>
        <w:rPr>
          <w:color w:val="112F3B"/>
          <w:spacing w:val="-4"/>
        </w:rPr>
        <w:t xml:space="preserve"> </w:t>
      </w:r>
      <w:r>
        <w:rPr>
          <w:color w:val="112F3B"/>
          <w:spacing w:val="-2"/>
        </w:rPr>
        <w:t>FAILURE</w:t>
      </w:r>
      <w:r>
        <w:rPr>
          <w:color w:val="112F3B"/>
          <w:spacing w:val="-6"/>
        </w:rPr>
        <w:t xml:space="preserve"> </w:t>
      </w:r>
      <w:r>
        <w:rPr>
          <w:color w:val="112F3B"/>
          <w:spacing w:val="-2"/>
        </w:rPr>
        <w:t>TO</w:t>
      </w:r>
      <w:r>
        <w:rPr>
          <w:color w:val="112F3B"/>
          <w:spacing w:val="-7"/>
        </w:rPr>
        <w:t xml:space="preserve"> </w:t>
      </w:r>
      <w:r>
        <w:rPr>
          <w:color w:val="112F3B"/>
          <w:spacing w:val="-2"/>
        </w:rPr>
        <w:t>COMPLY</w:t>
      </w:r>
      <w:r>
        <w:rPr>
          <w:color w:val="112F3B"/>
          <w:spacing w:val="-8"/>
        </w:rPr>
        <w:t xml:space="preserve"> </w:t>
      </w:r>
      <w:r>
        <w:rPr>
          <w:color w:val="112F3B"/>
          <w:spacing w:val="-2"/>
        </w:rPr>
        <w:t>NOTIFICATION</w:t>
      </w:r>
      <w:r>
        <w:rPr>
          <w:color w:val="112F3B"/>
          <w:spacing w:val="-9"/>
        </w:rPr>
        <w:t xml:space="preserve"> </w:t>
      </w:r>
      <w:r>
        <w:rPr>
          <w:color w:val="112F3B"/>
          <w:spacing w:val="-2"/>
        </w:rPr>
        <w:t>LETTER</w:t>
      </w:r>
      <w:r>
        <w:rPr>
          <w:color w:val="112F3B"/>
          <w:spacing w:val="-11"/>
        </w:rPr>
        <w:t xml:space="preserve"> </w:t>
      </w:r>
      <w:r>
        <w:rPr>
          <w:color w:val="112F3B"/>
          <w:spacing w:val="-2"/>
        </w:rPr>
        <w:t>TO</w:t>
      </w:r>
      <w:r>
        <w:rPr>
          <w:color w:val="112F3B"/>
          <w:spacing w:val="-4"/>
        </w:rPr>
        <w:t xml:space="preserve"> </w:t>
      </w:r>
      <w:r>
        <w:rPr>
          <w:color w:val="112F3B"/>
          <w:spacing w:val="-2"/>
        </w:rPr>
        <w:t>PROVIDER</w:t>
      </w:r>
      <w:r>
        <w:rPr>
          <w:color w:val="112F3B"/>
          <w:spacing w:val="-7"/>
        </w:rPr>
        <w:t xml:space="preserve"> </w:t>
      </w:r>
      <w:r>
        <w:rPr>
          <w:color w:val="112F3B"/>
          <w:spacing w:val="-2"/>
        </w:rPr>
        <w:t>FROM</w:t>
      </w:r>
      <w:r>
        <w:rPr>
          <w:color w:val="112F3B"/>
          <w:spacing w:val="-11"/>
        </w:rPr>
        <w:t xml:space="preserve"> </w:t>
      </w:r>
      <w:r>
        <w:rPr>
          <w:color w:val="112F3B"/>
          <w:spacing w:val="-2"/>
        </w:rPr>
        <w:t>ASSIGNED</w:t>
      </w:r>
      <w:r>
        <w:rPr>
          <w:color w:val="112F3B"/>
          <w:spacing w:val="-6"/>
        </w:rPr>
        <w:t xml:space="preserve"> </w:t>
      </w:r>
      <w:r>
        <w:rPr>
          <w:color w:val="112F3B"/>
          <w:spacing w:val="-5"/>
        </w:rPr>
        <w:t>AE</w:t>
      </w:r>
    </w:p>
    <w:p w14:paraId="626A4451" w14:textId="77777777" w:rsidR="00F26E3D" w:rsidRDefault="00F26E3D">
      <w:pPr>
        <w:pStyle w:val="BodyText"/>
        <w:spacing w:before="90"/>
        <w:rPr>
          <w:b/>
        </w:rPr>
      </w:pPr>
    </w:p>
    <w:p w14:paraId="21CBBB88" w14:textId="77777777" w:rsidR="00F26E3D" w:rsidRDefault="00000000">
      <w:pPr>
        <w:jc w:val="center"/>
        <w:rPr>
          <w:i/>
          <w:sz w:val="24"/>
        </w:rPr>
      </w:pPr>
      <w:r>
        <w:rPr>
          <w:i/>
          <w:color w:val="112F3B"/>
          <w:sz w:val="24"/>
        </w:rPr>
        <w:t>Assigned</w:t>
      </w:r>
      <w:r>
        <w:rPr>
          <w:i/>
          <w:color w:val="112F3B"/>
          <w:spacing w:val="-14"/>
          <w:sz w:val="24"/>
        </w:rPr>
        <w:t xml:space="preserve"> </w:t>
      </w:r>
      <w:r>
        <w:rPr>
          <w:i/>
          <w:color w:val="112F3B"/>
          <w:sz w:val="24"/>
        </w:rPr>
        <w:t>AE</w:t>
      </w:r>
      <w:r>
        <w:rPr>
          <w:i/>
          <w:color w:val="112F3B"/>
          <w:spacing w:val="-12"/>
          <w:sz w:val="24"/>
        </w:rPr>
        <w:t xml:space="preserve"> </w:t>
      </w:r>
      <w:r>
        <w:rPr>
          <w:i/>
          <w:color w:val="112F3B"/>
          <w:sz w:val="24"/>
        </w:rPr>
        <w:t>Failure</w:t>
      </w:r>
      <w:r>
        <w:rPr>
          <w:i/>
          <w:color w:val="112F3B"/>
          <w:spacing w:val="-12"/>
          <w:sz w:val="24"/>
        </w:rPr>
        <w:t xml:space="preserve"> </w:t>
      </w:r>
      <w:r>
        <w:rPr>
          <w:i/>
          <w:color w:val="112F3B"/>
          <w:sz w:val="24"/>
        </w:rPr>
        <w:t>to</w:t>
      </w:r>
      <w:r>
        <w:rPr>
          <w:i/>
          <w:color w:val="112F3B"/>
          <w:spacing w:val="-14"/>
          <w:sz w:val="24"/>
        </w:rPr>
        <w:t xml:space="preserve"> </w:t>
      </w:r>
      <w:r>
        <w:rPr>
          <w:i/>
          <w:color w:val="112F3B"/>
          <w:sz w:val="24"/>
        </w:rPr>
        <w:t>Comply</w:t>
      </w:r>
      <w:r>
        <w:rPr>
          <w:i/>
          <w:color w:val="112F3B"/>
          <w:spacing w:val="-9"/>
          <w:sz w:val="24"/>
        </w:rPr>
        <w:t xml:space="preserve"> </w:t>
      </w:r>
      <w:r>
        <w:rPr>
          <w:i/>
          <w:color w:val="112F3B"/>
          <w:sz w:val="24"/>
        </w:rPr>
        <w:t>Notification</w:t>
      </w:r>
      <w:r>
        <w:rPr>
          <w:i/>
          <w:color w:val="112F3B"/>
          <w:spacing w:val="-12"/>
          <w:sz w:val="24"/>
        </w:rPr>
        <w:t xml:space="preserve"> </w:t>
      </w:r>
      <w:r>
        <w:rPr>
          <w:i/>
          <w:color w:val="112F3B"/>
          <w:sz w:val="24"/>
        </w:rPr>
        <w:t>letter</w:t>
      </w:r>
      <w:r>
        <w:rPr>
          <w:i/>
          <w:color w:val="112F3B"/>
          <w:spacing w:val="-14"/>
          <w:sz w:val="24"/>
        </w:rPr>
        <w:t xml:space="preserve"> </w:t>
      </w:r>
      <w:r>
        <w:rPr>
          <w:i/>
          <w:color w:val="112F3B"/>
          <w:sz w:val="24"/>
        </w:rPr>
        <w:t>to</w:t>
      </w:r>
      <w:r>
        <w:rPr>
          <w:i/>
          <w:color w:val="112F3B"/>
          <w:spacing w:val="-10"/>
          <w:sz w:val="24"/>
        </w:rPr>
        <w:t xml:space="preserve"> </w:t>
      </w:r>
      <w:r>
        <w:rPr>
          <w:i/>
          <w:color w:val="112F3B"/>
          <w:spacing w:val="-2"/>
          <w:sz w:val="24"/>
        </w:rPr>
        <w:t>Provider</w:t>
      </w:r>
    </w:p>
    <w:p w14:paraId="1FE61DA9" w14:textId="77777777" w:rsidR="00F26E3D" w:rsidRDefault="00F26E3D">
      <w:pPr>
        <w:pStyle w:val="BodyText"/>
        <w:spacing w:before="96"/>
        <w:rPr>
          <w:i/>
        </w:rPr>
      </w:pPr>
    </w:p>
    <w:p w14:paraId="2DC3039D" w14:textId="77777777" w:rsidR="005241E6" w:rsidRDefault="00000000">
      <w:pPr>
        <w:pStyle w:val="BodyText"/>
        <w:spacing w:line="554" w:lineRule="auto"/>
        <w:ind w:right="5004"/>
        <w:rPr>
          <w:color w:val="112F3B"/>
          <w:spacing w:val="-2"/>
        </w:rPr>
      </w:pPr>
      <w:r>
        <w:rPr>
          <w:color w:val="112F3B"/>
          <w:spacing w:val="-2"/>
        </w:rPr>
        <w:t>Provider</w:t>
      </w:r>
      <w:r>
        <w:rPr>
          <w:color w:val="112F3B"/>
          <w:spacing w:val="-4"/>
        </w:rPr>
        <w:t xml:space="preserve"> </w:t>
      </w:r>
      <w:r>
        <w:rPr>
          <w:color w:val="112F3B"/>
          <w:spacing w:val="-2"/>
        </w:rPr>
        <w:t>CEO/Executive</w:t>
      </w:r>
      <w:r>
        <w:rPr>
          <w:color w:val="112F3B"/>
          <w:spacing w:val="-9"/>
        </w:rPr>
        <w:t xml:space="preserve"> </w:t>
      </w:r>
      <w:r>
        <w:rPr>
          <w:color w:val="112F3B"/>
          <w:spacing w:val="-2"/>
        </w:rPr>
        <w:t>Director</w:t>
      </w:r>
      <w:r>
        <w:rPr>
          <w:color w:val="112F3B"/>
          <w:spacing w:val="-3"/>
        </w:rPr>
        <w:t xml:space="preserve"> </w:t>
      </w:r>
    </w:p>
    <w:p w14:paraId="01EE1E91" w14:textId="2CC70420" w:rsidR="005241E6" w:rsidRDefault="005241E6">
      <w:pPr>
        <w:pStyle w:val="BodyText"/>
        <w:spacing w:line="554" w:lineRule="auto"/>
        <w:ind w:right="5004"/>
        <w:rPr>
          <w:color w:val="112F3B"/>
        </w:rPr>
      </w:pPr>
      <w:r w:rsidRPr="005241E6">
        <w:rPr>
          <w:color w:val="112F3B"/>
        </w:rPr>
        <w:t>[Address]</w:t>
      </w:r>
    </w:p>
    <w:p w14:paraId="5A0C9A49" w14:textId="2D6E7793" w:rsidR="00F26E3D" w:rsidRDefault="00000000">
      <w:pPr>
        <w:pStyle w:val="BodyText"/>
        <w:spacing w:line="554" w:lineRule="auto"/>
        <w:ind w:right="5004"/>
      </w:pPr>
      <w:r>
        <w:rPr>
          <w:color w:val="112F3B"/>
        </w:rPr>
        <w:t>Dear CEO/Executive Director:</w:t>
      </w:r>
    </w:p>
    <w:p w14:paraId="59222BE6" w14:textId="77777777" w:rsidR="005241E6" w:rsidRPr="005241E6" w:rsidRDefault="005241E6" w:rsidP="005241E6">
      <w:pPr>
        <w:pStyle w:val="BodyText"/>
        <w:spacing w:before="241"/>
        <w:rPr>
          <w:color w:val="112F3B"/>
        </w:rPr>
      </w:pPr>
      <w:r w:rsidRPr="005241E6">
        <w:rPr>
          <w:color w:val="112F3B"/>
        </w:rPr>
        <w:t>This letter serves as formal notice that [</w:t>
      </w:r>
      <w:r w:rsidRPr="005241E6">
        <w:rPr>
          <w:b/>
          <w:bCs/>
          <w:color w:val="112F3B"/>
        </w:rPr>
        <w:t>Provider Name] (MPI #____)</w:t>
      </w:r>
      <w:r w:rsidRPr="005241E6">
        <w:rPr>
          <w:color w:val="112F3B"/>
        </w:rPr>
        <w:t xml:space="preserve"> has not submitted the DP 1059 and required supporting documentation by April 30, 20XX for the following service specialties:</w:t>
      </w:r>
    </w:p>
    <w:p w14:paraId="4E018C0D" w14:textId="77777777" w:rsidR="005241E6" w:rsidRPr="005241E6" w:rsidRDefault="005241E6" w:rsidP="005241E6">
      <w:pPr>
        <w:pStyle w:val="BodyText"/>
        <w:spacing w:before="241"/>
        <w:rPr>
          <w:color w:val="112F3B"/>
        </w:rPr>
      </w:pPr>
      <w:r w:rsidRPr="005241E6">
        <w:rPr>
          <w:color w:val="112F3B"/>
        </w:rPr>
        <w:t>• Specialty # – Service Name</w:t>
      </w:r>
    </w:p>
    <w:p w14:paraId="2C66A09F" w14:textId="77777777" w:rsidR="005241E6" w:rsidRPr="005241E6" w:rsidRDefault="005241E6" w:rsidP="005241E6">
      <w:pPr>
        <w:pStyle w:val="BodyText"/>
        <w:spacing w:before="241"/>
        <w:rPr>
          <w:color w:val="112F3B"/>
        </w:rPr>
      </w:pPr>
      <w:r w:rsidRPr="005241E6">
        <w:rPr>
          <w:color w:val="112F3B"/>
        </w:rPr>
        <w:t>• Specialty # – Service Name</w:t>
      </w:r>
    </w:p>
    <w:p w14:paraId="782CBBB1" w14:textId="77777777" w:rsidR="005241E6" w:rsidRPr="005241E6" w:rsidRDefault="005241E6" w:rsidP="005241E6">
      <w:pPr>
        <w:pStyle w:val="BodyText"/>
        <w:spacing w:before="241"/>
        <w:rPr>
          <w:color w:val="112F3B"/>
        </w:rPr>
      </w:pPr>
      <w:r w:rsidRPr="005241E6">
        <w:rPr>
          <w:color w:val="112F3B"/>
        </w:rPr>
        <w:t>(Add additional lines as needed.)</w:t>
      </w:r>
    </w:p>
    <w:p w14:paraId="38F5D0FF" w14:textId="77777777" w:rsidR="005241E6" w:rsidRPr="005241E6" w:rsidRDefault="005241E6" w:rsidP="005241E6">
      <w:pPr>
        <w:pStyle w:val="BodyText"/>
        <w:spacing w:before="241"/>
        <w:rPr>
          <w:color w:val="112F3B"/>
        </w:rPr>
      </w:pPr>
      <w:r w:rsidRPr="005241E6">
        <w:rPr>
          <w:color w:val="112F3B"/>
        </w:rPr>
        <w:t>As of May 1, 20XX, Supports Coordinators have been notified to begin planning activities with waiver participants, families, and Individual Support Plan (ISP) teams to transition individuals to a willing and qualified provider(s).</w:t>
      </w:r>
    </w:p>
    <w:p w14:paraId="73119A7D" w14:textId="6AA54BD3" w:rsidR="00F26E3D" w:rsidRDefault="005241E6" w:rsidP="005241E6">
      <w:pPr>
        <w:pStyle w:val="BodyText"/>
        <w:spacing w:before="241"/>
      </w:pPr>
      <w:r w:rsidRPr="005241E6">
        <w:rPr>
          <w:color w:val="112F3B"/>
        </w:rPr>
        <w:t>If [</w:t>
      </w:r>
      <w:r w:rsidRPr="005241E6">
        <w:rPr>
          <w:b/>
          <w:bCs/>
          <w:color w:val="112F3B"/>
        </w:rPr>
        <w:t xml:space="preserve">Provider Name] </w:t>
      </w:r>
      <w:r w:rsidRPr="005241E6">
        <w:rPr>
          <w:color w:val="112F3B"/>
        </w:rPr>
        <w:t>does not become qualified by June 30, 20XX, your agency will not receive payment for waiver services delivered after that date and will no longer be qualified to provide the service specialties listed above. If, during transition planning, a participant chooses to begin services with an alternate willing and qualified provider before July 1, 20XX, your agency’s authorizations in the FY 20XX–20XX ISP will be end-dated accordingly.</w:t>
      </w:r>
    </w:p>
    <w:p w14:paraId="0560B004" w14:textId="77777777" w:rsidR="00F26E3D" w:rsidRDefault="00F26E3D">
      <w:pPr>
        <w:pStyle w:val="BodyText"/>
        <w:spacing w:before="92"/>
      </w:pPr>
    </w:p>
    <w:p w14:paraId="7683AEBC" w14:textId="527D0200" w:rsidR="005241E6" w:rsidRDefault="005241E6">
      <w:pPr>
        <w:pStyle w:val="BodyText"/>
        <w:spacing w:before="92"/>
      </w:pPr>
      <w:r>
        <w:t>Sincerely,</w:t>
      </w:r>
    </w:p>
    <w:p w14:paraId="651B805A" w14:textId="77777777" w:rsidR="005241E6" w:rsidRDefault="005241E6">
      <w:pPr>
        <w:pStyle w:val="BodyText"/>
        <w:spacing w:before="92"/>
      </w:pPr>
    </w:p>
    <w:p w14:paraId="694D2DA4" w14:textId="77777777" w:rsidR="00F26E3D" w:rsidRDefault="00000000">
      <w:pPr>
        <w:pStyle w:val="BodyText"/>
      </w:pPr>
      <w:r>
        <w:rPr>
          <w:color w:val="112F3B"/>
        </w:rPr>
        <w:t>AE</w:t>
      </w:r>
      <w:r>
        <w:rPr>
          <w:color w:val="112F3B"/>
          <w:spacing w:val="-13"/>
        </w:rPr>
        <w:t xml:space="preserve"> </w:t>
      </w:r>
      <w:r>
        <w:rPr>
          <w:color w:val="112F3B"/>
        </w:rPr>
        <w:t>Director</w:t>
      </w:r>
      <w:r>
        <w:rPr>
          <w:color w:val="112F3B"/>
          <w:spacing w:val="-14"/>
        </w:rPr>
        <w:t xml:space="preserve"> </w:t>
      </w:r>
      <w:r>
        <w:rPr>
          <w:color w:val="112F3B"/>
        </w:rPr>
        <w:t>(Assigned</w:t>
      </w:r>
      <w:r>
        <w:rPr>
          <w:color w:val="112F3B"/>
          <w:spacing w:val="-9"/>
        </w:rPr>
        <w:t xml:space="preserve"> </w:t>
      </w:r>
      <w:r>
        <w:rPr>
          <w:color w:val="112F3B"/>
          <w:spacing w:val="-5"/>
        </w:rPr>
        <w:t>AE)</w:t>
      </w:r>
    </w:p>
    <w:p w14:paraId="50DCE284" w14:textId="77777777" w:rsidR="00F26E3D" w:rsidRDefault="00F26E3D">
      <w:pPr>
        <w:pStyle w:val="BodyText"/>
        <w:spacing w:before="93"/>
      </w:pPr>
    </w:p>
    <w:p w14:paraId="24A219E3" w14:textId="77777777" w:rsidR="005241E6" w:rsidRPr="005241E6" w:rsidRDefault="005241E6" w:rsidP="005241E6">
      <w:pPr>
        <w:pStyle w:val="BodyText"/>
        <w:rPr>
          <w:color w:val="112F3B"/>
        </w:rPr>
      </w:pPr>
      <w:r w:rsidRPr="005241E6">
        <w:rPr>
          <w:color w:val="112F3B"/>
        </w:rPr>
        <w:t>cc: Applicable AE Staff</w:t>
      </w:r>
    </w:p>
    <w:p w14:paraId="79C7E3F1" w14:textId="77777777" w:rsidR="005241E6" w:rsidRPr="005241E6" w:rsidRDefault="005241E6" w:rsidP="005241E6">
      <w:pPr>
        <w:pStyle w:val="BodyText"/>
        <w:rPr>
          <w:color w:val="112F3B"/>
        </w:rPr>
      </w:pPr>
      <w:r w:rsidRPr="005241E6">
        <w:rPr>
          <w:color w:val="112F3B"/>
        </w:rPr>
        <w:t>SCO Director(s)</w:t>
      </w:r>
    </w:p>
    <w:p w14:paraId="04809A87" w14:textId="77777777" w:rsidR="005241E6" w:rsidRPr="005241E6" w:rsidRDefault="005241E6" w:rsidP="005241E6">
      <w:pPr>
        <w:pStyle w:val="BodyText"/>
        <w:rPr>
          <w:color w:val="112F3B"/>
        </w:rPr>
      </w:pPr>
      <w:r w:rsidRPr="005241E6">
        <w:rPr>
          <w:color w:val="112F3B"/>
        </w:rPr>
        <w:t>ODP Regional Program Manager</w:t>
      </w:r>
    </w:p>
    <w:p w14:paraId="487B2FBA" w14:textId="54B4D7D3" w:rsidR="00F26E3D" w:rsidRDefault="005241E6" w:rsidP="005241E6">
      <w:pPr>
        <w:pStyle w:val="BodyText"/>
      </w:pPr>
      <w:r w:rsidRPr="005241E6">
        <w:rPr>
          <w:color w:val="112F3B"/>
        </w:rPr>
        <w:t>ODP Regional Provider Qualification Point Person</w:t>
      </w:r>
    </w:p>
    <w:sectPr w:rsidR="00F26E3D">
      <w:type w:val="continuous"/>
      <w:pgSz w:w="12240" w:h="15840"/>
      <w:pgMar w:top="16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26E3D"/>
    <w:rsid w:val="005241E6"/>
    <w:rsid w:val="00F26E3D"/>
    <w:rsid w:val="00F6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A179F"/>
  <w15:docId w15:val="{43B0921B-8986-40E7-BEC5-443F495F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Pesner, Hope</dc:creator>
  <cp:lastModifiedBy>Frick, Charles</cp:lastModifiedBy>
  <cp:revision>2</cp:revision>
  <dcterms:created xsi:type="dcterms:W3CDTF">2025-11-17T16:00:00Z</dcterms:created>
  <dcterms:modified xsi:type="dcterms:W3CDTF">2025-11-17T16:42:00Z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Creator">
    <vt:lpwstr>Microsoft® Word for Microsoft 365</vt:lpwstr>
  </property>
  <property fmtid="{D5CDD505-2E9C-101B-9397-08002B2CF9AE}" pid="4" name="LastSaved">
    <vt:filetime>2025-11-17T00:00:00Z</vt:filetime>
  </property>
  <property fmtid="{D5CDD505-2E9C-101B-9397-08002B2CF9AE}" pid="5" name="Producer">
    <vt:lpwstr>Microsoft® Word for Microsoft 365</vt:lpwstr>
  </property>
</Properties>
</file>